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C" w:rsidRPr="00370090" w:rsidRDefault="00DA48FC" w:rsidP="00DA4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DA48FC" w:rsidRPr="00370090" w:rsidRDefault="00DA48FC" w:rsidP="00DA48F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DA48FC" w:rsidRDefault="00DA48FC" w:rsidP="00DA4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DA48FC" w:rsidRPr="00DA48FC" w:rsidRDefault="00DA48FC" w:rsidP="00DA4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A48FC" w:rsidRDefault="00DA48FC" w:rsidP="00DA4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A4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Банани свіжі, ґатунок другий, світло-зелені, від 14 см, діаметр плоду не більше 4 см, 1 кг; Морква свіжа, пізньостигла, перший ґатунок, 20-50 мм, ДСТУ 7035, 1 кг; Цибуля ріпчаста свіжа, ґатунок вищий, від 5 см, ДСТУ 3234, 1 кг</w:t>
      </w:r>
    </w:p>
    <w:p w:rsidR="00DA48FC" w:rsidRPr="00DA48FC" w:rsidRDefault="00DA48FC" w:rsidP="00DA4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DA48FC" w:rsidRPr="00370090" w:rsidRDefault="00DA48FC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52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 xml:space="preserve">Управління освіти Коломийської міської ради Івано-Франківської області, вул.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5C5C19" w:rsidRDefault="00DA48FC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Банани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gram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іжі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ґатунок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другий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світло-зелені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 см,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діаметр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плоду не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більше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см, 1 кг;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Морква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свіжа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пізньостигла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перший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ґатунок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20-50 мм, ДСТУ 7035, 1 кг; Цибуля </w:t>
      </w:r>
      <w:proofErr w:type="spellStart"/>
      <w:proofErr w:type="gram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іпчаста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свіжа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ґатунок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вищий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см, ДСТУ 3234, 1 кг</w:t>
      </w:r>
      <w:r w:rsid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5C5C19" w:rsidRDefault="00DA48FC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Запит ціни пропозиції </w:t>
      </w:r>
      <w:r w:rsidR="005C5C19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UA-2023-04-19-010497-a</w:t>
      </w:r>
    </w:p>
    <w:p w:rsidR="00DA48FC" w:rsidRPr="00370090" w:rsidRDefault="00DA48FC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DA48FC" w:rsidRPr="005C5C19" w:rsidRDefault="005C5C19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271 080</w:t>
      </w:r>
      <w:r w:rsidR="00DA48FC"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DA48FC" w:rsidRPr="00D529B7" w:rsidRDefault="00DA48FC" w:rsidP="00DA48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52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цьому розрахунок очікуваної вартості проводився згідно з аналізом цін, даних моніторингу цін у підприємствах торгівлі Івано-Франківської області,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52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аналізу комерційних пропозицій постачальників та інформації з веб-сайтів виробників і постачальників предмету закупівлі. Також 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D52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52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станом на дату формування очікуваної вартості предмета закупівлі.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E5DA6" w:rsidRDefault="00DA48FC" w:rsidP="00EE5D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EE5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EE5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EE5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EE5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EE5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2230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програми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дошкільної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 </w:t>
      </w:r>
      <w:r w:rsidR="00EE5DA6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EE5DA6">
        <w:rPr>
          <w:rFonts w:ascii="Times New Roman" w:hAnsi="Times New Roman"/>
          <w:sz w:val="24"/>
          <w:szCs w:val="24"/>
        </w:rPr>
        <w:t xml:space="preserve">КПКВК 0611010 КФКВК 0910 </w:t>
      </w:r>
      <w:r w:rsidR="00EE5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становить 4 185 000 грн. відповідно до бюджетного  розпису  Коломийської територіальної громади видатки  загального  фонду та 4 425 000 грн. видатки спеціального фонду (надходження від плати за послуги ,що надаються бюджетними установами (батьківська плата).</w:t>
      </w:r>
    </w:p>
    <w:p w:rsidR="00EE5DA6" w:rsidRDefault="00EE5DA6" w:rsidP="00DA48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A48FC" w:rsidRPr="00370090" w:rsidRDefault="00DA48FC" w:rsidP="00DA48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 груд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ня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DA48FC" w:rsidRPr="00370090" w:rsidRDefault="00DA48FC" w:rsidP="00DA48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DA48FC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5C5C19" w:rsidRPr="005C5C19" w:rsidRDefault="005C5C19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Банани свіжі, ґатунок другий, світло-зелені, від 14 см, діаметр плоду не більше 4 см, 1 кг; Морква свіжа, пізньостигла, перший ґатунок, 20-50 мм, ДСТУ 7035, 1 кг; Цибуля ріпчаста свіжа, ґатунок вищий, від 5 см, ДСТУ 3234, 1 кг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освіти, для забезпечення харчуванням у закладах загальної середньої освіти за рахунок коштів міського бюджету учнів, керуючись законами України «Про місцеве самоврядування в Україні», «Про повну загальну середню освіту»,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"Про забезпечення прав і свобод внутрішньо переміщених осіб", Бюджетним кодексом України, постановами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від 19.06.2002р. №856 «Про організацію харчування окремих категорій учнів у загальноосвітніх навчальних закладах», від 26.08.2002р. №1243 «Про невідкладні питання діяльності дошкільних та інтернатних навчальних закладів»,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наказами Міністерства охорони здоров’я України від 25.09.2020 № 2205 «Про затвердження Санітарного регламенту для закладів загальної середньої освіти»,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проводить закупівлю продуктів для харчування дітей.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Фактом подання 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закупівлі, що містяться в тендерній документації та цьому додатку, а також підтверджує можливість поставки товару, у відповідності до вимог, визна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чених згідно з умовами</w:t>
      </w: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документації.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господарювання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функціональні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вичерпний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скласти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термінологію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товарами, роботами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послугами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існуючими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міжнародними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еталонними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нормами та правилами. До кожного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до того,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складену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заявлена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повинна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зазначено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словосполучення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наприклад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Duster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відхилено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закінчення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кінцевого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залежних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критеріям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протокол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DA48FC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кг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5C5C19" w:rsidRPr="005C5C19" w:rsidRDefault="005C5C19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Банани свіжі, ґатунок другий, світло-зелені, від 14 см, діаметр плоду не більше 4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м, 680 кг,  м</w:t>
      </w:r>
      <w:r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орква свіжа, пізньостигла, перший ґатунок, 20-50 мм, ДСТУ 7035,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2700 кг.</w:t>
      </w:r>
      <w:r w:rsidR="00234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234590" w:rsidRPr="00234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Цибуля ріпчаста свіжа, ґату</w:t>
      </w:r>
      <w:r w:rsidR="00234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нок вищий, від 5 см, ДСТУ 3234., </w:t>
      </w:r>
      <w:r w:rsidR="00234590" w:rsidRPr="00234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1580 кг</w:t>
      </w:r>
      <w:r w:rsidR="00234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Банани повинні бути свіжі, без ознак гнилі, десертні стиглі, клас екстра або 1-й, повинні бути жовтого кольору з незначними залишками зелені на кінцях, без механічних пошкоджень, без сторонніх присмаків та запахів, без зайвої кількості вологи. М'якоть щільна, шкірка легко від неї відділяється. Довжина середня.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Усі продукти повинні відповідати нормам визначеним у нормативних документах, які </w:t>
      </w:r>
      <w:proofErr w:type="spellStart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становлюють</w:t>
      </w:r>
      <w:proofErr w:type="spellEnd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вимоги до безпечності продуктів: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Учасник повинен забезпечити контроль якості кожної партії товару.</w:t>
      </w:r>
    </w:p>
    <w:p w:rsidR="00DA48FC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Товар має відповідати технічним умовам та/або стандартам, відповідність </w:t>
      </w:r>
      <w:proofErr w:type="spellStart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потужностей</w:t>
      </w:r>
      <w:proofErr w:type="spellEnd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(виробничих та/або складських приміщень) вимогам санітарного законодавства.</w:t>
      </w:r>
    </w:p>
    <w:p w:rsidR="00DA48FC" w:rsidRPr="00F36825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Товар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показникам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дозвіл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знаходиться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кольорову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оригіналу</w:t>
      </w:r>
      <w:proofErr w:type="spellEnd"/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орендодавця</w:t>
      </w:r>
      <w:proofErr w:type="spellEnd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зберіганням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 ГОСТ, ДСТУ,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ДСТУ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участь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обов'язково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книжку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відміткою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кожного завозу товару, та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рукавиці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халат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`я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своєї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книжок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дату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розкриття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4.Виконавець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орендований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продовольчої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сировини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 (доставка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дотримуватися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фірмовому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бланку).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Заходи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довкілля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транспорт,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 тара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супроводжуватися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завіреними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ідписом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вагу товару: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декларація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накладна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товарно-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транспортна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накладна.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Товар не повинен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модифіковані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(ГМО);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доставку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розгрузку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споживачів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10.Транспортні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транспорту.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дозволено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перевозили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отруйні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ізким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(навалом) та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дозволено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силами і за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моменту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письмової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(листом,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електронною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поштою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факсом),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 поставки не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узгоджений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8FC" w:rsidRPr="00370090" w:rsidRDefault="00DA48FC" w:rsidP="00DA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впродовж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 день поставки. Днем поставки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понеділок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вівторок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10:00).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поставки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погоджуватись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сторонами.</w:t>
      </w:r>
    </w:p>
    <w:p w:rsidR="00DA48FC" w:rsidRPr="00370090" w:rsidRDefault="00DA48FC" w:rsidP="00DA48F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48FC" w:rsidRDefault="00DA48FC" w:rsidP="00DA48FC"/>
    <w:p w:rsidR="00575098" w:rsidRDefault="00575098"/>
    <w:sectPr w:rsidR="005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F"/>
    <w:rsid w:val="00234590"/>
    <w:rsid w:val="00242D9F"/>
    <w:rsid w:val="00575098"/>
    <w:rsid w:val="005C5C19"/>
    <w:rsid w:val="00D529B7"/>
    <w:rsid w:val="00DA48FC"/>
    <w:rsid w:val="00E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пкТендер</cp:lastModifiedBy>
  <cp:revision>5</cp:revision>
  <dcterms:created xsi:type="dcterms:W3CDTF">2023-04-25T13:32:00Z</dcterms:created>
  <dcterms:modified xsi:type="dcterms:W3CDTF">2023-05-05T11:17:00Z</dcterms:modified>
</cp:coreProperties>
</file>